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996F" w14:textId="77777777" w:rsidR="005F1BAD" w:rsidRDefault="005F1BAD">
      <w:pPr>
        <w:rPr>
          <w:lang w:eastAsia="en-GB"/>
        </w:rPr>
      </w:pPr>
      <w:r>
        <w:rPr>
          <w:b/>
          <w:bCs/>
        </w:rPr>
        <w:t>Role Profile: Lead Business Analyst</w:t>
      </w:r>
    </w:p>
    <w:p w14:paraId="1650D52D" w14:textId="665A2CBA" w:rsidR="005F1BAD" w:rsidRPr="005F1BAD" w:rsidRDefault="07EFE29F" w:rsidP="743D511E">
      <w:pPr>
        <w:rPr>
          <w:b/>
          <w:bCs/>
          <w:sz w:val="22"/>
          <w:szCs w:val="22"/>
          <w:lang w:eastAsia="en-GB"/>
        </w:rPr>
      </w:pPr>
      <w:r w:rsidRPr="743D511E">
        <w:rPr>
          <w:rFonts w:ascii="Aptos" w:eastAsia="Aptos" w:hAnsi="Aptos" w:cs="Aptos"/>
          <w:b/>
          <w:bCs/>
          <w:sz w:val="22"/>
          <w:szCs w:val="22"/>
        </w:rPr>
        <w:t>£51,356 - £55,611</w:t>
      </w:r>
      <w:r w:rsidR="01A6880E" w:rsidRPr="743D511E">
        <w:rPr>
          <w:b/>
          <w:bCs/>
          <w:sz w:val="22"/>
          <w:szCs w:val="22"/>
        </w:rPr>
        <w:t xml:space="preserve"> (subject to 2026/27 NJC pay award)</w:t>
      </w:r>
    </w:p>
    <w:p w14:paraId="31030C70" w14:textId="77777777" w:rsidR="005F1BAD" w:rsidRDefault="5ABCF940">
      <w:pPr>
        <w:rPr>
          <w:lang w:eastAsia="en-GB"/>
        </w:rPr>
      </w:pPr>
      <w:r w:rsidRPr="4D61D0FB">
        <w:rPr>
          <w:b/>
          <w:bCs/>
        </w:rPr>
        <w:t>Job Purpose</w:t>
      </w:r>
    </w:p>
    <w:p w14:paraId="18C02A88" w14:textId="77FA59CE" w:rsidR="4D61D0FB" w:rsidRDefault="4D61D0FB" w:rsidP="4D61D0FB">
      <w:r>
        <w:t>The Lead Business Analyst heads the Business Analysis, Disaggregation and Organisation Design function within the Discovery and Analysis Cluster. The postholder will lead the business analysis discipline across all 12 workstreams, owning the methodology, templates and quality standards aligned to recognised professional practice such as BCS and ISEB, and ensuring analysis is delivered consistently, professionally and to a high standard. The role will direct the deployment of business analysis capacity in line with programme priorities, working closely with Programme Managers and reporting to the Head of Programme Delivery. Business Analysts will consume and interpret data and other qualitative and quantitative evidence to identify opportunities for improvement, model and design services and processes in different ways, and develop options and recommendations for change.</w:t>
      </w:r>
    </w:p>
    <w:p w14:paraId="02645087" w14:textId="77777777" w:rsidR="005F1BAD" w:rsidRDefault="5ABCF940">
      <w:pPr>
        <w:rPr>
          <w:lang w:eastAsia="en-GB"/>
        </w:rPr>
      </w:pPr>
      <w:r w:rsidRPr="4D61D0FB">
        <w:rPr>
          <w:b/>
          <w:bCs/>
        </w:rPr>
        <w:t>Key Responsibilities</w:t>
      </w:r>
    </w:p>
    <w:p w14:paraId="50F4DFB1" w14:textId="2B847916" w:rsidR="4D61D0FB" w:rsidRDefault="4D61D0FB" w:rsidP="4D61D0FB">
      <w:pPr>
        <w:pStyle w:val="ListParagraph"/>
        <w:numPr>
          <w:ilvl w:val="0"/>
          <w:numId w:val="1"/>
        </w:numPr>
      </w:pPr>
      <w:r>
        <w:t>Lead the Business Analysis, Disaggregation and Organisation Design function within the Discovery and Analysis Cluster.</w:t>
      </w:r>
    </w:p>
    <w:p w14:paraId="14596B65" w14:textId="5622B581" w:rsidR="4D61D0FB" w:rsidRDefault="4D61D0FB" w:rsidP="4D61D0FB">
      <w:pPr>
        <w:pStyle w:val="ListParagraph"/>
        <w:numPr>
          <w:ilvl w:val="0"/>
          <w:numId w:val="1"/>
        </w:numPr>
      </w:pPr>
      <w:r>
        <w:t>Own and maintain the business analysis methodology, templates, tools and quality standards across all 12 workstreams, aligned to recognised professional practice.</w:t>
      </w:r>
    </w:p>
    <w:p w14:paraId="30878F63" w14:textId="551C7DF5" w:rsidR="4D61D0FB" w:rsidRDefault="4D61D0FB" w:rsidP="4D61D0FB">
      <w:pPr>
        <w:pStyle w:val="ListParagraph"/>
        <w:numPr>
          <w:ilvl w:val="0"/>
          <w:numId w:val="1"/>
        </w:numPr>
      </w:pPr>
      <w:r>
        <w:t>Prioritise and deploy business analysis capacity week by week based on workstream demand, programme priorities and delivery timescales, working closely with Programme Managers.</w:t>
      </w:r>
    </w:p>
    <w:p w14:paraId="05DA68B6" w14:textId="633B575B" w:rsidR="4D61D0FB" w:rsidRDefault="4D61D0FB" w:rsidP="4D61D0FB">
      <w:pPr>
        <w:pStyle w:val="ListParagraph"/>
        <w:numPr>
          <w:ilvl w:val="0"/>
          <w:numId w:val="1"/>
        </w:numPr>
      </w:pPr>
      <w:r>
        <w:t>Provide professional leadership, technical guidance and quality assurance for Business Analysts working across the programme.</w:t>
      </w:r>
    </w:p>
    <w:p w14:paraId="2C0CF6E5" w14:textId="5E5DAC35" w:rsidR="4D61D0FB" w:rsidRDefault="4D61D0FB" w:rsidP="4D61D0FB">
      <w:pPr>
        <w:pStyle w:val="ListParagraph"/>
        <w:numPr>
          <w:ilvl w:val="0"/>
          <w:numId w:val="1"/>
        </w:numPr>
      </w:pPr>
      <w:r>
        <w:t>Set principles and provide leadership for disaggregation analysis and high-level modelling to support service redesign and future-state operating arrangements.</w:t>
      </w:r>
    </w:p>
    <w:p w14:paraId="2FD2868E" w14:textId="3A96BBAE" w:rsidR="4D61D0FB" w:rsidRDefault="4D61D0FB" w:rsidP="4D61D0FB">
      <w:pPr>
        <w:pStyle w:val="ListParagraph"/>
        <w:numPr>
          <w:ilvl w:val="0"/>
          <w:numId w:val="1"/>
        </w:numPr>
      </w:pPr>
      <w:r>
        <w:t>Oversee the production of analytical artefacts including requirements documentation, process maps, operating model options, options appraisals and organisation design analysis.</w:t>
      </w:r>
    </w:p>
    <w:p w14:paraId="6F03A4D7" w14:textId="1AC4DCCC" w:rsidR="4D61D0FB" w:rsidRDefault="4D61D0FB" w:rsidP="4D61D0FB">
      <w:pPr>
        <w:pStyle w:val="ListParagraph"/>
        <w:numPr>
          <w:ilvl w:val="0"/>
          <w:numId w:val="1"/>
        </w:numPr>
      </w:pPr>
      <w:r>
        <w:t>Use data and other qualitative and quantitative evidence to identify opportunities for improvement, design services and processes in different ways, and develop options and recommendations for change.</w:t>
      </w:r>
    </w:p>
    <w:p w14:paraId="6D62B882" w14:textId="301B8A39" w:rsidR="4D61D0FB" w:rsidRDefault="4D61D0FB" w:rsidP="4D61D0FB">
      <w:pPr>
        <w:pStyle w:val="ListParagraph"/>
        <w:numPr>
          <w:ilvl w:val="0"/>
          <w:numId w:val="1"/>
        </w:numPr>
      </w:pPr>
      <w:r>
        <w:t>Work closely with Data Analysts, who are responsible for developing and maintaining the data hub, detailed data modelling, aggregation and disaggregation datasets, dashboards, data quality and information governance, to ensure Business Analysts have the insight required to support workstreams and decision-making.</w:t>
      </w:r>
    </w:p>
    <w:p w14:paraId="0B051730" w14:textId="7CF8F243" w:rsidR="4D61D0FB" w:rsidRDefault="4D61D0FB" w:rsidP="4D61D0FB">
      <w:pPr>
        <w:pStyle w:val="ListParagraph"/>
        <w:numPr>
          <w:ilvl w:val="0"/>
          <w:numId w:val="1"/>
        </w:numPr>
      </w:pPr>
      <w:r>
        <w:lastRenderedPageBreak/>
        <w:t>Ensure analytical outputs are robust, evidence-based and suitable to inform Delivery Lead and Sponsor decisions.</w:t>
      </w:r>
    </w:p>
    <w:p w14:paraId="30D24487" w14:textId="1311E7C7" w:rsidR="4D61D0FB" w:rsidRDefault="4D61D0FB" w:rsidP="4D61D0FB">
      <w:pPr>
        <w:pStyle w:val="ListParagraph"/>
        <w:numPr>
          <w:ilvl w:val="0"/>
          <w:numId w:val="1"/>
        </w:numPr>
      </w:pPr>
      <w:r>
        <w:t>Work closely with the Head of Programme Delivery to align analysis activity with programme objectives.</w:t>
      </w:r>
    </w:p>
    <w:p w14:paraId="0B8A98B2" w14:textId="095258E3" w:rsidR="4D61D0FB" w:rsidRDefault="4D61D0FB" w:rsidP="4D61D0FB">
      <w:pPr>
        <w:pStyle w:val="ListParagraph"/>
        <w:numPr>
          <w:ilvl w:val="0"/>
          <w:numId w:val="1"/>
        </w:numPr>
      </w:pPr>
      <w:r>
        <w:t>Support consistent ways of working across the 12 workstreams, promoting disciplined analysis, structured decision-making and continuous improvement.</w:t>
      </w:r>
    </w:p>
    <w:p w14:paraId="46E91592" w14:textId="1A040377" w:rsidR="4D61D0FB" w:rsidRDefault="4D61D0FB" w:rsidP="4D61D0FB">
      <w:pPr>
        <w:pStyle w:val="ListParagraph"/>
        <w:numPr>
          <w:ilvl w:val="0"/>
          <w:numId w:val="1"/>
        </w:numPr>
      </w:pPr>
      <w:r>
        <w:t>Identify emerging analysis needs, gaps, risks and interdependencies, escalating issues appropriately and recommending mitigating action.</w:t>
      </w:r>
    </w:p>
    <w:p w14:paraId="55346D04" w14:textId="752F965E" w:rsidR="4D61D0FB" w:rsidRDefault="4D61D0FB" w:rsidP="4D61D0FB">
      <w:pPr>
        <w:pStyle w:val="ListParagraph"/>
        <w:numPr>
          <w:ilvl w:val="0"/>
          <w:numId w:val="1"/>
        </w:numPr>
      </w:pPr>
      <w:r>
        <w:t>Contribute to programme governance and reporting by providing insight on analytical progress, quality and capacity deployment.</w:t>
      </w:r>
    </w:p>
    <w:p w14:paraId="1BDAC67E" w14:textId="77777777" w:rsidR="005F1BAD" w:rsidRDefault="005F1BAD">
      <w:pPr>
        <w:rPr>
          <w:lang w:eastAsia="en-GB"/>
        </w:rPr>
      </w:pPr>
      <w:r>
        <w:rPr>
          <w:b/>
          <w:bCs/>
        </w:rPr>
        <w:t>Working Relationships</w:t>
      </w:r>
    </w:p>
    <w:p w14:paraId="1B493EC1" w14:textId="723E5E35" w:rsidR="005F1BAD" w:rsidRDefault="005F1BAD">
      <w:pPr>
        <w:rPr>
          <w:lang w:eastAsia="en-GB"/>
        </w:rPr>
      </w:pPr>
      <w:r>
        <w:t xml:space="preserve">The postholder will work closely with the Head of Programme Delivery, Programme Managers, Delivery Leads, Business Analysts, Data Analysts and other colleagues within the Programme Delivery Office. The role also requires effective engagement with senior officers, subject matter experts and stakeholders across the 12 workstreams to ensure analysis is responsive, coordinated and </w:t>
      </w:r>
      <w:proofErr w:type="gramStart"/>
      <w:r>
        <w:t>decision-focused</w:t>
      </w:r>
      <w:proofErr w:type="gramEnd"/>
      <w:r>
        <w:t>.</w:t>
      </w:r>
    </w:p>
    <w:p w14:paraId="001054F2" w14:textId="77777777" w:rsidR="005F1BAD" w:rsidRDefault="005F1BAD">
      <w:pPr>
        <w:rPr>
          <w:lang w:eastAsia="en-GB"/>
        </w:rPr>
      </w:pPr>
      <w:r>
        <w:rPr>
          <w:b/>
          <w:bCs/>
        </w:rPr>
        <w:t>Reporting and Accountability</w:t>
      </w:r>
    </w:p>
    <w:p w14:paraId="3A5BA311" w14:textId="00A71A96" w:rsidR="005F1BAD" w:rsidRDefault="005F1BAD">
      <w:pPr>
        <w:rPr>
          <w:lang w:eastAsia="en-GB"/>
        </w:rPr>
      </w:pPr>
      <w:r>
        <w:t>The Lead Business Analyst reports to the Head of Programme Delivery. The postholder is accountable for the quality, consistency and effective deployment of business analysis across the programme, and for ensuring that business analysis outputs support sound governance, timely decision-making and successful workstream delivery.</w:t>
      </w:r>
    </w:p>
    <w:p w14:paraId="1126E254" w14:textId="77777777" w:rsidR="005F1BAD" w:rsidRDefault="005F1BAD">
      <w:pPr>
        <w:rPr>
          <w:lang w:eastAsia="en-GB"/>
        </w:rPr>
      </w:pPr>
      <w:r>
        <w:rPr>
          <w:b/>
          <w:bCs/>
        </w:rPr>
        <w:t>Essential Skills and Experience</w:t>
      </w:r>
    </w:p>
    <w:p w14:paraId="2C621D21" w14:textId="77777777" w:rsidR="005F1BAD" w:rsidRDefault="005F1BAD" w:rsidP="005F1BAD">
      <w:pPr>
        <w:pStyle w:val="ListParagraph"/>
        <w:numPr>
          <w:ilvl w:val="0"/>
          <w:numId w:val="12"/>
        </w:numPr>
      </w:pPr>
      <w:r>
        <w:t>Significant experience of leading business analysis within a complex organisational, transformation or partnership environment.</w:t>
      </w:r>
    </w:p>
    <w:p w14:paraId="4B044996" w14:textId="77777777" w:rsidR="005F1BAD" w:rsidRDefault="005F1BAD" w:rsidP="005F1BAD">
      <w:pPr>
        <w:pStyle w:val="ListParagraph"/>
        <w:numPr>
          <w:ilvl w:val="0"/>
          <w:numId w:val="12"/>
        </w:numPr>
      </w:pPr>
      <w:r>
        <w:t>Strong knowledge of recognised business analysis methodologies and standards, including frameworks aligned to BCS or ISEB practice.</w:t>
      </w:r>
    </w:p>
    <w:p w14:paraId="7E87EE15" w14:textId="77777777" w:rsidR="005F1BAD" w:rsidRDefault="005F1BAD" w:rsidP="005F1BAD">
      <w:pPr>
        <w:pStyle w:val="ListParagraph"/>
        <w:numPr>
          <w:ilvl w:val="0"/>
          <w:numId w:val="12"/>
        </w:numPr>
      </w:pPr>
      <w:r>
        <w:t>Proven ability to establish and maintain analytical standards, templates, tools and quality assurance processes.</w:t>
      </w:r>
    </w:p>
    <w:p w14:paraId="3FC59FBA" w14:textId="77777777" w:rsidR="005F1BAD" w:rsidRDefault="005F1BAD" w:rsidP="005F1BAD">
      <w:pPr>
        <w:pStyle w:val="ListParagraph"/>
        <w:numPr>
          <w:ilvl w:val="0"/>
          <w:numId w:val="12"/>
        </w:numPr>
      </w:pPr>
      <w:r>
        <w:t>Experience of prioritising and deploying analytical resources across multiple competing workstreams.</w:t>
      </w:r>
    </w:p>
    <w:p w14:paraId="1B8D8567" w14:textId="77777777" w:rsidR="005F1BAD" w:rsidRDefault="005F1BAD" w:rsidP="005F1BAD">
      <w:pPr>
        <w:pStyle w:val="ListParagraph"/>
        <w:numPr>
          <w:ilvl w:val="0"/>
          <w:numId w:val="12"/>
        </w:numPr>
      </w:pPr>
      <w:r>
        <w:t>Strong experience of requirements elicitation, business process mapping, operating model design, options appraisal and organisation design analysis.</w:t>
      </w:r>
    </w:p>
    <w:p w14:paraId="1F438A4D" w14:textId="77777777" w:rsidR="005F1BAD" w:rsidRDefault="005F1BAD" w:rsidP="005F1BAD">
      <w:pPr>
        <w:pStyle w:val="ListParagraph"/>
        <w:numPr>
          <w:ilvl w:val="0"/>
          <w:numId w:val="12"/>
        </w:numPr>
      </w:pPr>
      <w:r>
        <w:t>Excellent written and verbal communication skills, including the ability to present complex analysis clearly to senior stakeholders.</w:t>
      </w:r>
    </w:p>
    <w:p w14:paraId="7D1D6331" w14:textId="77777777" w:rsidR="005F1BAD" w:rsidRDefault="005F1BAD" w:rsidP="005F1BAD">
      <w:pPr>
        <w:pStyle w:val="ListParagraph"/>
        <w:numPr>
          <w:ilvl w:val="0"/>
          <w:numId w:val="12"/>
        </w:numPr>
      </w:pPr>
      <w:r>
        <w:t>Ability to influence, challenge constructively and support evidence-based decision-making.</w:t>
      </w:r>
    </w:p>
    <w:p w14:paraId="6B7349FB" w14:textId="77777777" w:rsidR="005F1BAD" w:rsidRDefault="005F1BAD" w:rsidP="005F1BAD">
      <w:pPr>
        <w:pStyle w:val="ListParagraph"/>
        <w:numPr>
          <w:ilvl w:val="0"/>
          <w:numId w:val="12"/>
        </w:numPr>
      </w:pPr>
      <w:r>
        <w:lastRenderedPageBreak/>
        <w:t>Strong organisational skills and the ability to manage quality, pace and consistency across a complex programme environment.</w:t>
      </w:r>
    </w:p>
    <w:p w14:paraId="2B37C257" w14:textId="77777777" w:rsidR="005F1BAD" w:rsidRDefault="005F1BAD">
      <w:pPr>
        <w:rPr>
          <w:lang w:eastAsia="en-GB"/>
        </w:rPr>
      </w:pPr>
      <w:r>
        <w:rPr>
          <w:b/>
          <w:bCs/>
        </w:rPr>
        <w:t>Desirable Skills and Experience</w:t>
      </w:r>
    </w:p>
    <w:p w14:paraId="47904439" w14:textId="77777777" w:rsidR="005F1BAD" w:rsidRDefault="5ABCF940" w:rsidP="005F1BAD">
      <w:pPr>
        <w:pStyle w:val="ListParagraph"/>
        <w:numPr>
          <w:ilvl w:val="0"/>
          <w:numId w:val="13"/>
        </w:numPr>
      </w:pPr>
      <w:r>
        <w:t>Experience of local government reorganisation, public sector transformation or large-scale service redesign.</w:t>
      </w:r>
    </w:p>
    <w:p w14:paraId="0E3DFCCB" w14:textId="7E67BD4A" w:rsidR="4D61D0FB" w:rsidRDefault="4D61D0FB" w:rsidP="4D61D0FB">
      <w:pPr>
        <w:pStyle w:val="ListParagraph"/>
        <w:numPr>
          <w:ilvl w:val="0"/>
          <w:numId w:val="13"/>
        </w:numPr>
      </w:pPr>
      <w:r>
        <w:t>Experience of leading organisation design and service disaggregation analysis within a complex transformation environment.</w:t>
      </w:r>
    </w:p>
    <w:p w14:paraId="0B3E9B4C" w14:textId="77777777" w:rsidR="005F1BAD" w:rsidRDefault="005F1BAD" w:rsidP="005F1BAD">
      <w:pPr>
        <w:pStyle w:val="ListParagraph"/>
        <w:numPr>
          <w:ilvl w:val="0"/>
          <w:numId w:val="13"/>
        </w:numPr>
      </w:pPr>
      <w:r>
        <w:t>Relevant professional qualification in business analysis, change or programme delivery.</w:t>
      </w:r>
    </w:p>
    <w:p w14:paraId="7BD86209" w14:textId="77777777" w:rsidR="005F1BAD" w:rsidRDefault="005F1BAD" w:rsidP="005F1BAD">
      <w:pPr>
        <w:pStyle w:val="ListParagraph"/>
        <w:numPr>
          <w:ilvl w:val="0"/>
          <w:numId w:val="13"/>
        </w:numPr>
      </w:pPr>
      <w:r>
        <w:t>Experience of working in a matrix-managed environment across multiple services or organisations.</w:t>
      </w:r>
    </w:p>
    <w:p w14:paraId="5E07A6A0" w14:textId="7A800D18" w:rsidR="006849F1" w:rsidRDefault="006849F1">
      <w:pPr>
        <w:rPr>
          <w:b/>
          <w:bCs/>
        </w:rPr>
      </w:pPr>
    </w:p>
    <w:p w14:paraId="2CE69CA5" w14:textId="55011A93" w:rsidR="008A52E9" w:rsidRDefault="006849F1">
      <w:pPr>
        <w:rPr>
          <w:b/>
          <w:bCs/>
        </w:rPr>
      </w:pPr>
      <w:r>
        <w:rPr>
          <w:b/>
          <w:bCs/>
        </w:rPr>
        <w:br w:type="page"/>
      </w:r>
    </w:p>
    <w:p w14:paraId="286182D4" w14:textId="77777777" w:rsidR="003979FA" w:rsidRDefault="003979FA">
      <w:pPr>
        <w:rPr>
          <w:b/>
          <w:bCs/>
        </w:rPr>
      </w:pPr>
    </w:p>
    <w:p w14:paraId="46385F92" w14:textId="77777777" w:rsidR="003979FA" w:rsidRDefault="003979FA">
      <w:pPr>
        <w:rPr>
          <w:b/>
          <w:bCs/>
        </w:rPr>
      </w:pPr>
    </w:p>
    <w:p w14:paraId="40CD86E7" w14:textId="77777777" w:rsidR="003979FA" w:rsidRDefault="003979FA">
      <w:pPr>
        <w:rPr>
          <w:b/>
          <w:bCs/>
        </w:rPr>
      </w:pPr>
    </w:p>
    <w:p w14:paraId="1B16FAEA" w14:textId="77777777" w:rsidR="003979FA" w:rsidRDefault="003979FA">
      <w:pPr>
        <w:rPr>
          <w:b/>
          <w:bCs/>
        </w:rPr>
      </w:pPr>
    </w:p>
    <w:p w14:paraId="56390D2E" w14:textId="77777777" w:rsidR="003979FA" w:rsidRDefault="003979FA">
      <w:pPr>
        <w:rPr>
          <w:b/>
          <w:bCs/>
        </w:rPr>
      </w:pPr>
    </w:p>
    <w:p w14:paraId="0385A3AA" w14:textId="77777777" w:rsidR="005F284D" w:rsidRPr="00100E05" w:rsidRDefault="005F284D" w:rsidP="00400012">
      <w:pPr>
        <w:rPr>
          <w:rFonts w:ascii="Aptos" w:hAnsi="Aptos"/>
        </w:rPr>
      </w:pPr>
    </w:p>
    <w:sectPr w:rsidR="005F284D" w:rsidRPr="00100E05" w:rsidSect="005F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C59"/>
    <w:multiLevelType w:val="multilevel"/>
    <w:tmpl w:val="67AA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53674"/>
    <w:multiLevelType w:val="multilevel"/>
    <w:tmpl w:val="6C7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093B"/>
    <w:multiLevelType w:val="multilevel"/>
    <w:tmpl w:val="B23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40791"/>
    <w:multiLevelType w:val="multilevel"/>
    <w:tmpl w:val="CDC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46807"/>
    <w:multiLevelType w:val="multilevel"/>
    <w:tmpl w:val="3D62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F71AD"/>
    <w:multiLevelType w:val="multilevel"/>
    <w:tmpl w:val="7FE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E65E3"/>
    <w:multiLevelType w:val="multilevel"/>
    <w:tmpl w:val="2328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55764"/>
    <w:multiLevelType w:val="multilevel"/>
    <w:tmpl w:val="A9CC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45076"/>
    <w:multiLevelType w:val="multilevel"/>
    <w:tmpl w:val="225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871E7"/>
    <w:multiLevelType w:val="multilevel"/>
    <w:tmpl w:val="0A9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02B62"/>
    <w:multiLevelType w:val="multilevel"/>
    <w:tmpl w:val="19C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C0964"/>
    <w:multiLevelType w:val="multilevel"/>
    <w:tmpl w:val="0B1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E6537"/>
    <w:multiLevelType w:val="multilevel"/>
    <w:tmpl w:val="7D76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51C09"/>
    <w:multiLevelType w:val="multilevel"/>
    <w:tmpl w:val="8F92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E5F76"/>
    <w:multiLevelType w:val="multilevel"/>
    <w:tmpl w:val="1E16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A3C9B"/>
    <w:multiLevelType w:val="multilevel"/>
    <w:tmpl w:val="AC50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C132F"/>
    <w:multiLevelType w:val="multilevel"/>
    <w:tmpl w:val="36F8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A4100"/>
    <w:multiLevelType w:val="multilevel"/>
    <w:tmpl w:val="C12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007FC"/>
    <w:multiLevelType w:val="multilevel"/>
    <w:tmpl w:val="0FCC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B4B68"/>
    <w:multiLevelType w:val="multilevel"/>
    <w:tmpl w:val="25B2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71300"/>
    <w:multiLevelType w:val="multilevel"/>
    <w:tmpl w:val="38B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C7977"/>
    <w:multiLevelType w:val="multilevel"/>
    <w:tmpl w:val="2846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17522"/>
    <w:multiLevelType w:val="multilevel"/>
    <w:tmpl w:val="C1F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70949"/>
    <w:multiLevelType w:val="multilevel"/>
    <w:tmpl w:val="E67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31A6C"/>
    <w:multiLevelType w:val="multilevel"/>
    <w:tmpl w:val="905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315C3"/>
    <w:multiLevelType w:val="multilevel"/>
    <w:tmpl w:val="0992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0452B"/>
    <w:multiLevelType w:val="multilevel"/>
    <w:tmpl w:val="8C72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72E13"/>
    <w:multiLevelType w:val="multilevel"/>
    <w:tmpl w:val="9AE6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D241A"/>
    <w:multiLevelType w:val="multilevel"/>
    <w:tmpl w:val="4E48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C6CFE1"/>
    <w:multiLevelType w:val="hybridMultilevel"/>
    <w:tmpl w:val="A2A87D96"/>
    <w:lvl w:ilvl="0" w:tplc="8B98D94A">
      <w:start w:val="1"/>
      <w:numFmt w:val="bullet"/>
      <w:lvlText w:val=""/>
      <w:lvlJc w:val="left"/>
      <w:pPr>
        <w:ind w:left="720" w:hanging="360"/>
      </w:pPr>
      <w:rPr>
        <w:rFonts w:ascii="Symbol" w:hAnsi="Symbol" w:hint="default"/>
      </w:rPr>
    </w:lvl>
    <w:lvl w:ilvl="1" w:tplc="98B84B8E">
      <w:start w:val="1"/>
      <w:numFmt w:val="bullet"/>
      <w:lvlText w:val="o"/>
      <w:lvlJc w:val="left"/>
      <w:pPr>
        <w:ind w:left="1440" w:hanging="360"/>
      </w:pPr>
      <w:rPr>
        <w:rFonts w:ascii="Courier New" w:hAnsi="Courier New" w:hint="default"/>
      </w:rPr>
    </w:lvl>
    <w:lvl w:ilvl="2" w:tplc="F6D4A9A2">
      <w:start w:val="1"/>
      <w:numFmt w:val="bullet"/>
      <w:lvlText w:val=""/>
      <w:lvlJc w:val="left"/>
      <w:pPr>
        <w:ind w:left="2160" w:hanging="360"/>
      </w:pPr>
      <w:rPr>
        <w:rFonts w:ascii="Wingdings" w:hAnsi="Wingdings" w:hint="default"/>
      </w:rPr>
    </w:lvl>
    <w:lvl w:ilvl="3" w:tplc="5A5A8EC2">
      <w:start w:val="1"/>
      <w:numFmt w:val="bullet"/>
      <w:lvlText w:val=""/>
      <w:lvlJc w:val="left"/>
      <w:pPr>
        <w:ind w:left="2880" w:hanging="360"/>
      </w:pPr>
      <w:rPr>
        <w:rFonts w:ascii="Symbol" w:hAnsi="Symbol" w:hint="default"/>
      </w:rPr>
    </w:lvl>
    <w:lvl w:ilvl="4" w:tplc="0D00F882">
      <w:start w:val="1"/>
      <w:numFmt w:val="bullet"/>
      <w:lvlText w:val="o"/>
      <w:lvlJc w:val="left"/>
      <w:pPr>
        <w:ind w:left="3600" w:hanging="360"/>
      </w:pPr>
      <w:rPr>
        <w:rFonts w:ascii="Courier New" w:hAnsi="Courier New" w:hint="default"/>
      </w:rPr>
    </w:lvl>
    <w:lvl w:ilvl="5" w:tplc="3F3E88FA">
      <w:start w:val="1"/>
      <w:numFmt w:val="bullet"/>
      <w:lvlText w:val=""/>
      <w:lvlJc w:val="left"/>
      <w:pPr>
        <w:ind w:left="4320" w:hanging="360"/>
      </w:pPr>
      <w:rPr>
        <w:rFonts w:ascii="Wingdings" w:hAnsi="Wingdings" w:hint="default"/>
      </w:rPr>
    </w:lvl>
    <w:lvl w:ilvl="6" w:tplc="676E6B8E">
      <w:start w:val="1"/>
      <w:numFmt w:val="bullet"/>
      <w:lvlText w:val=""/>
      <w:lvlJc w:val="left"/>
      <w:pPr>
        <w:ind w:left="5040" w:hanging="360"/>
      </w:pPr>
      <w:rPr>
        <w:rFonts w:ascii="Symbol" w:hAnsi="Symbol" w:hint="default"/>
      </w:rPr>
    </w:lvl>
    <w:lvl w:ilvl="7" w:tplc="81F03FFC">
      <w:start w:val="1"/>
      <w:numFmt w:val="bullet"/>
      <w:lvlText w:val="o"/>
      <w:lvlJc w:val="left"/>
      <w:pPr>
        <w:ind w:left="5760" w:hanging="360"/>
      </w:pPr>
      <w:rPr>
        <w:rFonts w:ascii="Courier New" w:hAnsi="Courier New" w:hint="default"/>
      </w:rPr>
    </w:lvl>
    <w:lvl w:ilvl="8" w:tplc="01CC5F9E">
      <w:start w:val="1"/>
      <w:numFmt w:val="bullet"/>
      <w:lvlText w:val=""/>
      <w:lvlJc w:val="left"/>
      <w:pPr>
        <w:ind w:left="6480" w:hanging="360"/>
      </w:pPr>
      <w:rPr>
        <w:rFonts w:ascii="Wingdings" w:hAnsi="Wingdings" w:hint="default"/>
      </w:rPr>
    </w:lvl>
  </w:abstractNum>
  <w:abstractNum w:abstractNumId="30" w15:restartNumberingAfterBreak="0">
    <w:nsid w:val="7FF236DF"/>
    <w:multiLevelType w:val="multilevel"/>
    <w:tmpl w:val="6924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939031">
    <w:abstractNumId w:val="29"/>
  </w:num>
  <w:num w:numId="2" w16cid:durableId="1528985053">
    <w:abstractNumId w:val="28"/>
  </w:num>
  <w:num w:numId="3" w16cid:durableId="758870932">
    <w:abstractNumId w:val="4"/>
  </w:num>
  <w:num w:numId="4" w16cid:durableId="695930519">
    <w:abstractNumId w:val="17"/>
  </w:num>
  <w:num w:numId="5" w16cid:durableId="98067931">
    <w:abstractNumId w:val="14"/>
  </w:num>
  <w:num w:numId="6" w16cid:durableId="2020739512">
    <w:abstractNumId w:val="18"/>
  </w:num>
  <w:num w:numId="7" w16cid:durableId="1428695138">
    <w:abstractNumId w:val="26"/>
  </w:num>
  <w:num w:numId="8" w16cid:durableId="908731677">
    <w:abstractNumId w:val="22"/>
  </w:num>
  <w:num w:numId="9" w16cid:durableId="680204845">
    <w:abstractNumId w:val="2"/>
  </w:num>
  <w:num w:numId="10" w16cid:durableId="142551096">
    <w:abstractNumId w:val="21"/>
  </w:num>
  <w:num w:numId="11" w16cid:durableId="203949673">
    <w:abstractNumId w:val="12"/>
  </w:num>
  <w:num w:numId="12" w16cid:durableId="1939173285">
    <w:abstractNumId w:val="30"/>
  </w:num>
  <w:num w:numId="13" w16cid:durableId="1448161324">
    <w:abstractNumId w:val="0"/>
  </w:num>
  <w:num w:numId="14" w16cid:durableId="1711568996">
    <w:abstractNumId w:val="27"/>
  </w:num>
  <w:num w:numId="15" w16cid:durableId="51388675">
    <w:abstractNumId w:val="25"/>
  </w:num>
  <w:num w:numId="16" w16cid:durableId="172380113">
    <w:abstractNumId w:val="16"/>
  </w:num>
  <w:num w:numId="17" w16cid:durableId="138688332">
    <w:abstractNumId w:val="3"/>
  </w:num>
  <w:num w:numId="18" w16cid:durableId="1368027078">
    <w:abstractNumId w:val="8"/>
  </w:num>
  <w:num w:numId="19" w16cid:durableId="1602296757">
    <w:abstractNumId w:val="24"/>
  </w:num>
  <w:num w:numId="20" w16cid:durableId="1300263910">
    <w:abstractNumId w:val="9"/>
  </w:num>
  <w:num w:numId="21" w16cid:durableId="1972633712">
    <w:abstractNumId w:val="19"/>
  </w:num>
  <w:num w:numId="22" w16cid:durableId="1468277355">
    <w:abstractNumId w:val="7"/>
  </w:num>
  <w:num w:numId="23" w16cid:durableId="1865168312">
    <w:abstractNumId w:val="5"/>
  </w:num>
  <w:num w:numId="24" w16cid:durableId="483662306">
    <w:abstractNumId w:val="1"/>
  </w:num>
  <w:num w:numId="25" w16cid:durableId="2034183889">
    <w:abstractNumId w:val="6"/>
  </w:num>
  <w:num w:numId="26" w16cid:durableId="245498953">
    <w:abstractNumId w:val="11"/>
  </w:num>
  <w:num w:numId="27" w16cid:durableId="1491021698">
    <w:abstractNumId w:val="23"/>
  </w:num>
  <w:num w:numId="28" w16cid:durableId="1731926805">
    <w:abstractNumId w:val="20"/>
  </w:num>
  <w:num w:numId="29" w16cid:durableId="144056027">
    <w:abstractNumId w:val="15"/>
  </w:num>
  <w:num w:numId="30" w16cid:durableId="858277589">
    <w:abstractNumId w:val="10"/>
  </w:num>
  <w:num w:numId="31" w16cid:durableId="354621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05"/>
    <w:rsid w:val="00011398"/>
    <w:rsid w:val="00100E05"/>
    <w:rsid w:val="001819D3"/>
    <w:rsid w:val="001920F2"/>
    <w:rsid w:val="00214749"/>
    <w:rsid w:val="002711D0"/>
    <w:rsid w:val="00295B77"/>
    <w:rsid w:val="003979FA"/>
    <w:rsid w:val="00400012"/>
    <w:rsid w:val="00442ECA"/>
    <w:rsid w:val="005E7D28"/>
    <w:rsid w:val="005F1BAD"/>
    <w:rsid w:val="005F284D"/>
    <w:rsid w:val="006512A7"/>
    <w:rsid w:val="00675DEB"/>
    <w:rsid w:val="006849F1"/>
    <w:rsid w:val="006A38F7"/>
    <w:rsid w:val="008A52E9"/>
    <w:rsid w:val="00935DB9"/>
    <w:rsid w:val="00AC65EF"/>
    <w:rsid w:val="00AD708E"/>
    <w:rsid w:val="00C67DA3"/>
    <w:rsid w:val="00C861E6"/>
    <w:rsid w:val="00E1129A"/>
    <w:rsid w:val="00F201EB"/>
    <w:rsid w:val="01A6880E"/>
    <w:rsid w:val="07EFE29F"/>
    <w:rsid w:val="2508AA1E"/>
    <w:rsid w:val="4D61D0FB"/>
    <w:rsid w:val="5ABCF940"/>
    <w:rsid w:val="743D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8D7E"/>
  <w15:chartTrackingRefBased/>
  <w15:docId w15:val="{7AC75382-DC61-4942-A81D-CBAD70D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05"/>
    <w:rPr>
      <w:rFonts w:eastAsiaTheme="majorEastAsia" w:cstheme="majorBidi"/>
      <w:color w:val="272727" w:themeColor="text1" w:themeTint="D8"/>
    </w:rPr>
  </w:style>
  <w:style w:type="paragraph" w:styleId="Title">
    <w:name w:val="Title"/>
    <w:basedOn w:val="Normal"/>
    <w:next w:val="Normal"/>
    <w:link w:val="TitleChar"/>
    <w:uiPriority w:val="10"/>
    <w:qFormat/>
    <w:rsid w:val="00100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05"/>
    <w:pPr>
      <w:spacing w:before="160"/>
      <w:jc w:val="center"/>
    </w:pPr>
    <w:rPr>
      <w:i/>
      <w:iCs/>
      <w:color w:val="404040" w:themeColor="text1" w:themeTint="BF"/>
    </w:rPr>
  </w:style>
  <w:style w:type="character" w:customStyle="1" w:styleId="QuoteChar">
    <w:name w:val="Quote Char"/>
    <w:basedOn w:val="DefaultParagraphFont"/>
    <w:link w:val="Quote"/>
    <w:uiPriority w:val="29"/>
    <w:rsid w:val="00100E05"/>
    <w:rPr>
      <w:i/>
      <w:iCs/>
      <w:color w:val="404040" w:themeColor="text1" w:themeTint="BF"/>
    </w:rPr>
  </w:style>
  <w:style w:type="paragraph" w:styleId="ListParagraph">
    <w:name w:val="List Paragraph"/>
    <w:basedOn w:val="Normal"/>
    <w:uiPriority w:val="34"/>
    <w:qFormat/>
    <w:rsid w:val="00100E05"/>
    <w:pPr>
      <w:ind w:left="720"/>
      <w:contextualSpacing/>
    </w:pPr>
  </w:style>
  <w:style w:type="character" w:styleId="IntenseEmphasis">
    <w:name w:val="Intense Emphasis"/>
    <w:basedOn w:val="DefaultParagraphFont"/>
    <w:uiPriority w:val="21"/>
    <w:qFormat/>
    <w:rsid w:val="00100E05"/>
    <w:rPr>
      <w:i/>
      <w:iCs/>
      <w:color w:val="0F4761" w:themeColor="accent1" w:themeShade="BF"/>
    </w:rPr>
  </w:style>
  <w:style w:type="paragraph" w:styleId="IntenseQuote">
    <w:name w:val="Intense Quote"/>
    <w:basedOn w:val="Normal"/>
    <w:next w:val="Normal"/>
    <w:link w:val="IntenseQuoteChar"/>
    <w:uiPriority w:val="30"/>
    <w:qFormat/>
    <w:rsid w:val="00100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05"/>
    <w:rPr>
      <w:i/>
      <w:iCs/>
      <w:color w:val="0F4761" w:themeColor="accent1" w:themeShade="BF"/>
    </w:rPr>
  </w:style>
  <w:style w:type="character" w:styleId="IntenseReference">
    <w:name w:val="Intense Reference"/>
    <w:basedOn w:val="DefaultParagraphFont"/>
    <w:uiPriority w:val="32"/>
    <w:qFormat/>
    <w:rsid w:val="00100E05"/>
    <w:rPr>
      <w:b/>
      <w:bCs/>
      <w:smallCaps/>
      <w:color w:val="0F4761" w:themeColor="accent1" w:themeShade="BF"/>
      <w:spacing w:val="5"/>
    </w:rPr>
  </w:style>
  <w:style w:type="paragraph" w:styleId="NormalWeb">
    <w:name w:val="Normal (Web)"/>
    <w:basedOn w:val="Normal"/>
    <w:uiPriority w:val="99"/>
    <w:semiHidden/>
    <w:unhideWhenUsed/>
    <w:rsid w:val="00100E05"/>
    <w:pPr>
      <w:spacing w:before="100" w:beforeAutospacing="1" w:after="100" w:afterAutospacing="1"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Props1.xml><?xml version="1.0" encoding="utf-8"?>
<ds:datastoreItem xmlns:ds="http://schemas.openxmlformats.org/officeDocument/2006/customXml" ds:itemID="{D9A5D677-C994-47A9-A4B3-E0FFCC8DDCAF}">
  <ds:schemaRefs>
    <ds:schemaRef ds:uri="http://schemas.microsoft.com/sharepoint/v3/contenttype/forms"/>
  </ds:schemaRefs>
</ds:datastoreItem>
</file>

<file path=customXml/itemProps2.xml><?xml version="1.0" encoding="utf-8"?>
<ds:datastoreItem xmlns:ds="http://schemas.openxmlformats.org/officeDocument/2006/customXml" ds:itemID="{E7564BA1-ACFA-4482-B780-1A1CA7CE0307}">
  <ds:schemaRefs>
    <ds:schemaRef ds:uri="Microsoft.SharePoint.Taxonomy.ContentTypeSync"/>
  </ds:schemaRefs>
</ds:datastoreItem>
</file>

<file path=customXml/itemProps3.xml><?xml version="1.0" encoding="utf-8"?>
<ds:datastoreItem xmlns:ds="http://schemas.openxmlformats.org/officeDocument/2006/customXml" ds:itemID="{6E67E549-0587-4C6C-AB8A-0CB91379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01F36-679F-4D57-9535-A4468023D1E7}">
  <ds:schemaRefs>
    <ds:schemaRef ds:uri="http://schemas.microsoft.com/office/2006/metadata/properties"/>
    <ds:schemaRef ds:uri="http://schemas.microsoft.com/office/infopath/2007/PartnerControls"/>
    <ds:schemaRef ds:uri="a098d266-7419-4467-a893-35c26c8ec7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4520</Characters>
  <Application>Microsoft Office Word</Application>
  <DocSecurity>4</DocSecurity>
  <Lines>37</Lines>
  <Paragraphs>10</Paragraphs>
  <ScaleCrop>false</ScaleCrop>
  <Company>Chorley Council</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2</cp:revision>
  <dcterms:created xsi:type="dcterms:W3CDTF">2026-06-02T09:32:00Z</dcterms:created>
  <dcterms:modified xsi:type="dcterms:W3CDTF">2026-06-02T09:32:00Z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2026-05-20T15:43:48Z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aef14387-ecfc-43ef-b9d8-a8abcc8d03bc</vt:lpwstr>
  </property>
  <property fmtid="{D5CDD505-2E9C-101B-9397-08002B2CF9AE}" pid="8" name="MSIP_Label_f96679a5-570c-40a6-a557-668bc9231a44_ContentBits">
    <vt:lpwstr>0</vt:lpwstr>
  </property>
  <property fmtid="{D5CDD505-2E9C-101B-9397-08002B2CF9AE}" pid="9" name="MSIP_Label_f96679a5-570c-40a6-a557-668bc9231a44_Tag">
    <vt:lpwstr>10, 3, 0, 1</vt:lpwstr>
  </property>
  <property fmtid="{D5CDD505-2E9C-101B-9397-08002B2CF9AE}" pid="10" name="ContentTypeId">
    <vt:lpwstr>0x010100FC4930819AC34F4389972F8CE96BC25C008E842F74086A5346993B51E9E1946852</vt:lpwstr>
  </property>
  <property fmtid="{D5CDD505-2E9C-101B-9397-08002B2CF9AE}" pid="11" name="Service_x0020_Area">
    <vt:lpwstr>2;#ICT|baea2b01-91ac-4501-b80f-f3bcb66f697f</vt:lpwstr>
  </property>
  <property fmtid="{D5CDD505-2E9C-101B-9397-08002B2CF9AE}" pid="12" name="Authority">
    <vt:lpwstr>1;#Shared|e04e77cb-3cca-4e6e-90eb-6d259c5b59bb</vt:lpwstr>
  </property>
  <property fmtid="{D5CDD505-2E9C-101B-9397-08002B2CF9AE}" pid="13" name="Service Area">
    <vt:lpwstr>2;#ICT|baea2b01-91ac-4501-b80f-f3bcb66f697f</vt:lpwstr>
  </property>
  <property fmtid="{D5CDD505-2E9C-101B-9397-08002B2CF9AE}" pid="14" name="docLang">
    <vt:lpwstr>en</vt:lpwstr>
  </property>
</Properties>
</file>